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CB7C6" w14:textId="77777777" w:rsidR="00510C12" w:rsidRDefault="00510C12" w:rsidP="00510C12">
      <w:pPr>
        <w:rPr>
          <w:rFonts w:ascii="Arial" w:hAnsi="Arial" w:cs="Arial"/>
          <w:b/>
          <w:bCs/>
          <w:color w:val="9B0B77"/>
          <w:sz w:val="25"/>
          <w:szCs w:val="25"/>
          <w:shd w:val="clear" w:color="auto" w:fill="FFFFFF"/>
        </w:rPr>
      </w:pPr>
      <w:r>
        <w:rPr>
          <w:rFonts w:ascii="Arial" w:hAnsi="Arial" w:cs="Arial"/>
          <w:b/>
          <w:bCs/>
          <w:color w:val="9B0B77"/>
          <w:sz w:val="25"/>
          <w:szCs w:val="25"/>
          <w:shd w:val="clear" w:color="auto" w:fill="FFFFFF"/>
        </w:rPr>
        <w:t>Liste des établissements et des unités de recherche d'exercice</w:t>
      </w:r>
    </w:p>
    <w:p w14:paraId="02032137" w14:textId="77777777" w:rsidR="00510C12" w:rsidRDefault="00510C12" w:rsidP="00510C12">
      <w:r>
        <w:t>Université Masaryk à Brno (République Tchèque)</w:t>
      </w:r>
    </w:p>
    <w:p w14:paraId="4D1DFF3D" w14:textId="77777777" w:rsidR="00510C12" w:rsidRDefault="00510C12" w:rsidP="00510C12">
      <w:r>
        <w:t xml:space="preserve">Université de Bourgogne </w:t>
      </w:r>
      <w:r w:rsidR="006B5241">
        <w:t xml:space="preserve">– Franche-Comté </w:t>
      </w:r>
      <w:r>
        <w:t>à Dijon</w:t>
      </w:r>
    </w:p>
    <w:p w14:paraId="29AD4FD3" w14:textId="46609FF4" w:rsidR="00D31305" w:rsidRDefault="00510C12" w:rsidP="00510C12">
      <w:r>
        <w:t>UMR ARTEHIS, Dijon</w:t>
      </w:r>
    </w:p>
    <w:p w14:paraId="2B48E640" w14:textId="77777777" w:rsidR="00510C12" w:rsidRDefault="00510C12" w:rsidP="00510C12">
      <w:r>
        <w:t>UMR Biogéosciences, Dijon</w:t>
      </w:r>
    </w:p>
    <w:p w14:paraId="26B5F19B" w14:textId="77777777" w:rsidR="00510C12" w:rsidRDefault="00510C12" w:rsidP="00510C12">
      <w:r>
        <w:t>ÚAM FF MU, Brno</w:t>
      </w:r>
    </w:p>
    <w:p w14:paraId="2D027E4F" w14:textId="77777777" w:rsidR="00CD39AC" w:rsidRDefault="00510C12" w:rsidP="00510C12">
      <w:r>
        <w:t>SAS SATT GRAND EST, Dijon</w:t>
      </w:r>
    </w:p>
    <w:p w14:paraId="53B45C9D" w14:textId="77777777" w:rsidR="00510C12" w:rsidRDefault="00510C12" w:rsidP="00510C12">
      <w:r>
        <w:t>Université Hradec Kr</w:t>
      </w:r>
      <w:r>
        <w:rPr>
          <w:lang w:val="cs-CZ"/>
        </w:rPr>
        <w:t>álové</w:t>
      </w:r>
      <w:r>
        <w:t xml:space="preserve"> à Hradec Kr</w:t>
      </w:r>
      <w:r>
        <w:rPr>
          <w:lang w:val="cs-CZ"/>
        </w:rPr>
        <w:t>álové</w:t>
      </w:r>
      <w:r>
        <w:t xml:space="preserve"> (République Tchèque)</w:t>
      </w:r>
    </w:p>
    <w:p w14:paraId="4951CA8D" w14:textId="77777777" w:rsidR="00510C12" w:rsidRDefault="00510C12" w:rsidP="00510C12"/>
    <w:p w14:paraId="61D4630E" w14:textId="77777777" w:rsidR="00510C12" w:rsidRDefault="00510C12" w:rsidP="00510C12">
      <w:pPr>
        <w:rPr>
          <w:rFonts w:ascii="Arial" w:hAnsi="Arial" w:cs="Arial"/>
          <w:b/>
          <w:bCs/>
          <w:color w:val="9B0B77"/>
          <w:sz w:val="25"/>
          <w:szCs w:val="25"/>
          <w:shd w:val="clear" w:color="auto" w:fill="FFFFFF"/>
        </w:rPr>
      </w:pPr>
      <w:r>
        <w:rPr>
          <w:rFonts w:ascii="Arial" w:hAnsi="Arial" w:cs="Arial"/>
          <w:b/>
          <w:bCs/>
          <w:color w:val="9B0B77"/>
          <w:sz w:val="25"/>
          <w:szCs w:val="25"/>
          <w:shd w:val="clear" w:color="auto" w:fill="FFFFFF"/>
        </w:rPr>
        <w:t>Activités et responsabilités en matière d'enseignement (Niveau, discipline)</w:t>
      </w:r>
    </w:p>
    <w:p w14:paraId="2BE8F624" w14:textId="77777777" w:rsidR="00510C12" w:rsidRDefault="00510C12" w:rsidP="00510C12">
      <w:r>
        <w:t>Licence - Science de la Vie et de la Terre</w:t>
      </w:r>
    </w:p>
    <w:p w14:paraId="233785B1" w14:textId="77777777" w:rsidR="00510C12" w:rsidRDefault="00510C12" w:rsidP="00510C12">
      <w:r>
        <w:t>Licence, Master et Thèse - Archéologie</w:t>
      </w:r>
    </w:p>
    <w:p w14:paraId="24109D23" w14:textId="77777777" w:rsidR="00510C12" w:rsidRDefault="00510C12" w:rsidP="00510C12">
      <w:r>
        <w:t xml:space="preserve">Master - </w:t>
      </w:r>
      <w:proofErr w:type="spellStart"/>
      <w:r>
        <w:t>Archéogéosciences</w:t>
      </w:r>
      <w:proofErr w:type="spellEnd"/>
    </w:p>
    <w:p w14:paraId="2C690648" w14:textId="77777777" w:rsidR="00510C12" w:rsidRDefault="00510C12" w:rsidP="00510C12"/>
    <w:p w14:paraId="5422C555" w14:textId="77777777" w:rsidR="00510C12" w:rsidRDefault="00510C12" w:rsidP="00510C12">
      <w:r>
        <w:rPr>
          <w:rFonts w:ascii="Arial" w:hAnsi="Arial" w:cs="Arial"/>
          <w:b/>
          <w:bCs/>
          <w:color w:val="9B0B77"/>
          <w:sz w:val="25"/>
          <w:szCs w:val="25"/>
          <w:shd w:val="clear" w:color="auto" w:fill="FFFFFF"/>
        </w:rPr>
        <w:t>Thèmes et mots clés de votre domaine de recherche</w:t>
      </w:r>
    </w:p>
    <w:p w14:paraId="54F92B2A" w14:textId="77777777" w:rsidR="00510C12" w:rsidRDefault="00510C12" w:rsidP="00510C12">
      <w:r>
        <w:t>Culture matérielle protohistorique européenne</w:t>
      </w:r>
    </w:p>
    <w:p w14:paraId="75F9C990" w14:textId="77777777" w:rsidR="00510C12" w:rsidRDefault="00510C12" w:rsidP="00510C12">
      <w:r>
        <w:t>Morphométrie géométrique appliqué en archéologie</w:t>
      </w:r>
    </w:p>
    <w:p w14:paraId="0AB69B51" w14:textId="77777777" w:rsidR="00510C12" w:rsidRDefault="00510C12" w:rsidP="00510C12">
      <w:r>
        <w:t>Mise en évidences des relations socio-économiques par le traitement informatique des données spatiales</w:t>
      </w:r>
    </w:p>
    <w:p w14:paraId="1A712B99" w14:textId="77777777" w:rsidR="00510C12" w:rsidRDefault="00510C12" w:rsidP="00510C12">
      <w:r>
        <w:t>Statistiques et SIG en archéologie</w:t>
      </w:r>
    </w:p>
    <w:p w14:paraId="02A256C4" w14:textId="77777777" w:rsidR="00510C12" w:rsidRDefault="00510C12" w:rsidP="00510C12">
      <w:r>
        <w:t>Méthodes d'acquisition 3D en archéologie</w:t>
      </w:r>
    </w:p>
    <w:p w14:paraId="28E749F0" w14:textId="77777777" w:rsidR="00510C12" w:rsidRDefault="00510C12" w:rsidP="00510C12">
      <w:r>
        <w:t>Construction des bases des données</w:t>
      </w:r>
    </w:p>
    <w:p w14:paraId="4C0C4086" w14:textId="77777777" w:rsidR="00510C12" w:rsidRDefault="00510C12" w:rsidP="00510C12">
      <w:r>
        <w:t>Technologies numériques pour la restitution 3D des sites archéologiques et la muséographie</w:t>
      </w:r>
    </w:p>
    <w:p w14:paraId="0D143856" w14:textId="77777777" w:rsidR="00510C12" w:rsidRDefault="00510C12" w:rsidP="00510C12"/>
    <w:p w14:paraId="5BC2050C" w14:textId="77777777" w:rsidR="00510C12" w:rsidRDefault="00510C12" w:rsidP="00510C12">
      <w:pPr>
        <w:rPr>
          <w:rFonts w:ascii="Arial" w:hAnsi="Arial" w:cs="Arial"/>
          <w:b/>
          <w:bCs/>
          <w:color w:val="9B0B77"/>
          <w:sz w:val="25"/>
          <w:szCs w:val="25"/>
          <w:shd w:val="clear" w:color="auto" w:fill="FFFFFF"/>
        </w:rPr>
      </w:pPr>
      <w:r>
        <w:rPr>
          <w:rFonts w:ascii="Arial" w:hAnsi="Arial" w:cs="Arial"/>
          <w:b/>
          <w:bCs/>
          <w:color w:val="9B0B77"/>
          <w:sz w:val="25"/>
          <w:szCs w:val="25"/>
          <w:shd w:val="clear" w:color="auto" w:fill="FFFFFF"/>
        </w:rPr>
        <w:t>Activités en matière d'administration et autres responsabilités</w:t>
      </w:r>
    </w:p>
    <w:p w14:paraId="3D4873FA" w14:textId="77777777" w:rsidR="008C598F" w:rsidRDefault="008C598F" w:rsidP="00510C12">
      <w:r w:rsidRPr="008C598F">
        <w:t>Création d</w:t>
      </w:r>
      <w:r>
        <w:t xml:space="preserve">’un nouveau </w:t>
      </w:r>
      <w:r w:rsidRPr="008C598F">
        <w:t xml:space="preserve">parcours universitaire Digital </w:t>
      </w:r>
      <w:proofErr w:type="spellStart"/>
      <w:r w:rsidRPr="008C598F">
        <w:t>Humanities</w:t>
      </w:r>
      <w:proofErr w:type="spellEnd"/>
    </w:p>
    <w:p w14:paraId="1F9616C3" w14:textId="77777777" w:rsidR="00510C12" w:rsidRDefault="00510C12" w:rsidP="00510C12">
      <w:r>
        <w:t>Organisation de colloques</w:t>
      </w:r>
    </w:p>
    <w:p w14:paraId="5BF4019E" w14:textId="77777777" w:rsidR="00510C12" w:rsidRDefault="00510C12" w:rsidP="00510C12">
      <w:r>
        <w:t>Animation d'écoles thématiques</w:t>
      </w:r>
    </w:p>
    <w:p w14:paraId="3AEEEEE1" w14:textId="77777777" w:rsidR="00510C12" w:rsidRDefault="00510C12" w:rsidP="00510C12">
      <w:r>
        <w:t>Animation de stages professionnels (dessins automatiques d'objets archéologiques)</w:t>
      </w:r>
    </w:p>
    <w:p w14:paraId="7B4EF777" w14:textId="77777777" w:rsidR="00510C12" w:rsidRDefault="00510C12" w:rsidP="00510C12">
      <w:r>
        <w:t>Edition de publications scientifiques</w:t>
      </w:r>
    </w:p>
    <w:p w14:paraId="1F78863F" w14:textId="77777777" w:rsidR="00510C12" w:rsidRDefault="00510C12" w:rsidP="00510C12">
      <w:r>
        <w:t>Déclaration d'inventions auprès du CNRS (transfert de technologies)</w:t>
      </w:r>
    </w:p>
    <w:p w14:paraId="6DC2D5A8" w14:textId="77777777" w:rsidR="00510C12" w:rsidRDefault="00510C12" w:rsidP="00510C12">
      <w:r>
        <w:lastRenderedPageBreak/>
        <w:t>Encadrement de stages de master</w:t>
      </w:r>
    </w:p>
    <w:p w14:paraId="668B85C4" w14:textId="77777777" w:rsidR="00510C12" w:rsidRDefault="00510C12" w:rsidP="00510C12">
      <w:r>
        <w:t>Responsabilité d'opérations archéologiques</w:t>
      </w:r>
    </w:p>
    <w:p w14:paraId="1197943C" w14:textId="77777777" w:rsidR="00510C12" w:rsidRDefault="00510C12" w:rsidP="00510C12"/>
    <w:p w14:paraId="7F1E8813" w14:textId="77777777" w:rsidR="00510C12" w:rsidRDefault="00510C12" w:rsidP="00510C12">
      <w:pPr>
        <w:rPr>
          <w:rFonts w:ascii="Arial" w:hAnsi="Arial" w:cs="Arial"/>
          <w:b/>
          <w:bCs/>
          <w:color w:val="9B0B77"/>
          <w:sz w:val="25"/>
          <w:szCs w:val="25"/>
          <w:shd w:val="clear" w:color="auto" w:fill="FFFFFF"/>
        </w:rPr>
      </w:pPr>
      <w:r>
        <w:rPr>
          <w:rFonts w:ascii="Arial" w:hAnsi="Arial" w:cs="Arial"/>
          <w:b/>
          <w:bCs/>
          <w:color w:val="9B0B77"/>
          <w:sz w:val="25"/>
          <w:szCs w:val="25"/>
          <w:shd w:val="clear" w:color="auto" w:fill="FFFFFF"/>
        </w:rPr>
        <w:t>Travaux, ouvrages, articles, réalisations</w:t>
      </w:r>
    </w:p>
    <w:p w14:paraId="51574FA4" w14:textId="77777777" w:rsidR="00510C12" w:rsidRPr="00660467" w:rsidRDefault="003363D6" w:rsidP="00510C12">
      <w:pPr>
        <w:suppressAutoHyphens/>
        <w:autoSpaceDE w:val="0"/>
        <w:autoSpaceDN w:val="0"/>
        <w:adjustRightInd w:val="0"/>
        <w:spacing w:after="57" w:line="240" w:lineRule="auto"/>
        <w:jc w:val="both"/>
        <w:textAlignment w:val="center"/>
        <w:rPr>
          <w:rFonts w:ascii="Minion Pro" w:hAnsi="Minion Pro" w:cs="Minion Pro"/>
          <w:color w:val="000000"/>
        </w:rPr>
      </w:pPr>
      <w:r w:rsidRPr="00660467">
        <w:rPr>
          <w:rFonts w:ascii="Minion Pro" w:hAnsi="Minion Pro" w:cs="Minion Pro"/>
          <w:color w:val="000000"/>
        </w:rPr>
        <w:t xml:space="preserve">Pour plus de détails </w:t>
      </w:r>
      <w:proofErr w:type="gramStart"/>
      <w:r w:rsidR="00510C12" w:rsidRPr="00660467">
        <w:rPr>
          <w:rFonts w:ascii="Minion Pro" w:hAnsi="Minion Pro" w:cs="Minion Pro"/>
          <w:color w:val="000000"/>
        </w:rPr>
        <w:t>voir</w:t>
      </w:r>
      <w:proofErr w:type="gramEnd"/>
      <w:r w:rsidR="00510C12" w:rsidRPr="00660467">
        <w:rPr>
          <w:rFonts w:ascii="Minion Pro" w:hAnsi="Minion Pro" w:cs="Minion Pro"/>
          <w:color w:val="000000"/>
        </w:rPr>
        <w:t xml:space="preserve"> CV</w:t>
      </w:r>
    </w:p>
    <w:p w14:paraId="1D972178" w14:textId="3E143C8A" w:rsidR="00510C12" w:rsidRPr="00660467" w:rsidRDefault="00510C12" w:rsidP="00510C12">
      <w:pPr>
        <w:suppressAutoHyphens/>
        <w:autoSpaceDE w:val="0"/>
        <w:autoSpaceDN w:val="0"/>
        <w:adjustRightInd w:val="0"/>
        <w:spacing w:after="57" w:line="240" w:lineRule="auto"/>
        <w:jc w:val="both"/>
        <w:textAlignment w:val="center"/>
        <w:rPr>
          <w:rFonts w:ascii="Minion Pro" w:hAnsi="Minion Pro" w:cs="Minion Pro"/>
          <w:color w:val="000000"/>
        </w:rPr>
      </w:pPr>
      <w:r w:rsidRPr="00660467">
        <w:rPr>
          <w:rFonts w:ascii="Minion Pro" w:hAnsi="Minion Pro" w:cs="Minion Pro"/>
          <w:color w:val="000000"/>
        </w:rPr>
        <w:t>9</w:t>
      </w:r>
      <w:r w:rsidR="00960104" w:rsidRPr="00660467">
        <w:rPr>
          <w:rFonts w:ascii="Minion Pro" w:hAnsi="Minion Pro" w:cs="Minion Pro"/>
          <w:color w:val="000000"/>
        </w:rPr>
        <w:t xml:space="preserve"> a</w:t>
      </w:r>
      <w:r w:rsidRPr="00660467">
        <w:rPr>
          <w:rFonts w:ascii="Minion Pro" w:hAnsi="Minion Pro" w:cs="Minion Pro"/>
          <w:color w:val="000000"/>
        </w:rPr>
        <w:t>rticle</w:t>
      </w:r>
      <w:r w:rsidR="00EC5AD1" w:rsidRPr="00660467">
        <w:rPr>
          <w:rFonts w:ascii="Minion Pro" w:hAnsi="Minion Pro" w:cs="Minion Pro"/>
          <w:color w:val="000000"/>
        </w:rPr>
        <w:t>s</w:t>
      </w:r>
      <w:r w:rsidRPr="00660467">
        <w:rPr>
          <w:rFonts w:ascii="Minion Pro" w:hAnsi="Minion Pro" w:cs="Minion Pro"/>
          <w:color w:val="000000"/>
        </w:rPr>
        <w:t xml:space="preserve"> dans des revues à comité de lecture</w:t>
      </w:r>
      <w:r w:rsidR="003363D6" w:rsidRPr="00660467">
        <w:rPr>
          <w:rFonts w:ascii="Minion Pro" w:hAnsi="Minion Pro" w:cs="Minion Pro"/>
          <w:color w:val="000000"/>
        </w:rPr>
        <w:t xml:space="preserve"> (dont 7 internationales)</w:t>
      </w:r>
      <w:r w:rsidRPr="00660467">
        <w:rPr>
          <w:rFonts w:ascii="Minion Pro" w:hAnsi="Minion Pro" w:cs="Minion Pro"/>
          <w:color w:val="000000"/>
        </w:rPr>
        <w:t xml:space="preserve"> (+3</w:t>
      </w:r>
      <w:r w:rsidR="003363D6" w:rsidRPr="00660467">
        <w:rPr>
          <w:rFonts w:ascii="Minion Pro" w:hAnsi="Minion Pro" w:cs="Minion Pro"/>
          <w:color w:val="000000"/>
        </w:rPr>
        <w:t xml:space="preserve"> articles</w:t>
      </w:r>
      <w:r w:rsidRPr="00660467">
        <w:rPr>
          <w:rFonts w:ascii="Minion Pro" w:hAnsi="Minion Pro" w:cs="Minion Pro"/>
          <w:color w:val="000000"/>
        </w:rPr>
        <w:t xml:space="preserve"> avant soumission)</w:t>
      </w:r>
    </w:p>
    <w:p w14:paraId="49EBB8BB" w14:textId="1E4519D0" w:rsidR="00510C12" w:rsidRPr="00660467" w:rsidRDefault="00510C12" w:rsidP="00510C12">
      <w:pPr>
        <w:suppressAutoHyphens/>
        <w:autoSpaceDE w:val="0"/>
        <w:autoSpaceDN w:val="0"/>
        <w:adjustRightInd w:val="0"/>
        <w:spacing w:after="57" w:line="240" w:lineRule="auto"/>
        <w:jc w:val="both"/>
        <w:textAlignment w:val="center"/>
        <w:rPr>
          <w:rFonts w:ascii="Minion Pro" w:hAnsi="Minion Pro" w:cs="Minion Pro"/>
          <w:color w:val="000000"/>
        </w:rPr>
      </w:pPr>
      <w:r w:rsidRPr="00660467">
        <w:rPr>
          <w:rFonts w:ascii="Minion Pro" w:hAnsi="Minion Pro" w:cs="Minion Pro"/>
          <w:color w:val="000000"/>
        </w:rPr>
        <w:t xml:space="preserve">1 </w:t>
      </w:r>
      <w:r w:rsidR="00960104" w:rsidRPr="00660467">
        <w:rPr>
          <w:rFonts w:ascii="Minion Pro" w:hAnsi="Minion Pro" w:cs="Minion Pro"/>
          <w:color w:val="000000"/>
        </w:rPr>
        <w:t>d</w:t>
      </w:r>
      <w:r w:rsidRPr="00660467">
        <w:rPr>
          <w:rFonts w:ascii="Minion Pro" w:hAnsi="Minion Pro" w:cs="Minion Pro"/>
          <w:color w:val="000000"/>
        </w:rPr>
        <w:t>irection d’ouvrage</w:t>
      </w:r>
    </w:p>
    <w:p w14:paraId="731ACA5A" w14:textId="62239123" w:rsidR="00510C12" w:rsidRPr="00660467" w:rsidRDefault="00510C12" w:rsidP="00510C12">
      <w:pPr>
        <w:suppressAutoHyphens/>
        <w:autoSpaceDE w:val="0"/>
        <w:autoSpaceDN w:val="0"/>
        <w:adjustRightInd w:val="0"/>
        <w:spacing w:after="57" w:line="240" w:lineRule="auto"/>
        <w:jc w:val="both"/>
        <w:textAlignment w:val="center"/>
        <w:rPr>
          <w:rFonts w:ascii="Minion Pro" w:hAnsi="Minion Pro" w:cs="Minion Pro"/>
          <w:color w:val="000000"/>
        </w:rPr>
      </w:pPr>
      <w:r w:rsidRPr="00660467">
        <w:rPr>
          <w:rFonts w:ascii="Minion Pro" w:hAnsi="Minion Pro" w:cs="Minion Pro"/>
          <w:color w:val="000000"/>
        </w:rPr>
        <w:t xml:space="preserve">2 </w:t>
      </w:r>
      <w:r w:rsidR="00960104" w:rsidRPr="00660467">
        <w:rPr>
          <w:rFonts w:ascii="Minion Pro" w:hAnsi="Minion Pro" w:cs="Minion Pro"/>
          <w:color w:val="000000"/>
        </w:rPr>
        <w:t>c</w:t>
      </w:r>
      <w:r w:rsidRPr="00660467">
        <w:rPr>
          <w:rFonts w:ascii="Minion Pro" w:hAnsi="Minion Pro" w:cs="Minion Pro"/>
          <w:color w:val="000000"/>
        </w:rPr>
        <w:t>hapitre</w:t>
      </w:r>
      <w:r w:rsidR="00960104" w:rsidRPr="00660467">
        <w:rPr>
          <w:rFonts w:ascii="Minion Pro" w:hAnsi="Minion Pro" w:cs="Minion Pro"/>
          <w:color w:val="000000"/>
        </w:rPr>
        <w:t>s</w:t>
      </w:r>
      <w:r w:rsidRPr="00660467">
        <w:rPr>
          <w:rFonts w:ascii="Minion Pro" w:hAnsi="Minion Pro" w:cs="Minion Pro"/>
          <w:color w:val="000000"/>
        </w:rPr>
        <w:t xml:space="preserve"> d’ouvrage</w:t>
      </w:r>
    </w:p>
    <w:p w14:paraId="65D1D887" w14:textId="1B6883B4" w:rsidR="00510C12" w:rsidRPr="00660467" w:rsidRDefault="00510C12" w:rsidP="00510C12">
      <w:pPr>
        <w:suppressAutoHyphens/>
        <w:autoSpaceDE w:val="0"/>
        <w:autoSpaceDN w:val="0"/>
        <w:adjustRightInd w:val="0"/>
        <w:spacing w:after="57" w:line="240" w:lineRule="auto"/>
        <w:jc w:val="both"/>
        <w:textAlignment w:val="center"/>
        <w:rPr>
          <w:rFonts w:ascii="Minion Pro" w:hAnsi="Minion Pro" w:cs="Minion Pro"/>
          <w:color w:val="000000"/>
        </w:rPr>
      </w:pPr>
      <w:r w:rsidRPr="00660467">
        <w:rPr>
          <w:rFonts w:ascii="Minion Pro" w:hAnsi="Minion Pro" w:cs="Minion Pro"/>
          <w:color w:val="000000"/>
        </w:rPr>
        <w:t>3</w:t>
      </w:r>
      <w:r w:rsidR="00960104" w:rsidRPr="00660467">
        <w:rPr>
          <w:rFonts w:ascii="Minion Pro" w:hAnsi="Minion Pro" w:cs="Minion Pro"/>
          <w:color w:val="000000"/>
        </w:rPr>
        <w:t xml:space="preserve"> a</w:t>
      </w:r>
      <w:r w:rsidRPr="00660467">
        <w:rPr>
          <w:rFonts w:ascii="Minion Pro" w:hAnsi="Minion Pro" w:cs="Minion Pro"/>
          <w:color w:val="000000"/>
        </w:rPr>
        <w:t>rticle</w:t>
      </w:r>
      <w:r w:rsidR="00960104" w:rsidRPr="00660467">
        <w:rPr>
          <w:rFonts w:ascii="Minion Pro" w:hAnsi="Minion Pro" w:cs="Minion Pro"/>
          <w:color w:val="000000"/>
        </w:rPr>
        <w:t>s</w:t>
      </w:r>
      <w:r w:rsidRPr="00660467">
        <w:rPr>
          <w:rFonts w:ascii="Minion Pro" w:hAnsi="Minion Pro" w:cs="Minion Pro"/>
          <w:color w:val="000000"/>
        </w:rPr>
        <w:t xml:space="preserve"> dans des actes de colloques et congres</w:t>
      </w:r>
    </w:p>
    <w:p w14:paraId="3E6C9A5F" w14:textId="2523D361" w:rsidR="00510C12" w:rsidRPr="00660467" w:rsidRDefault="00510C12" w:rsidP="00510C12">
      <w:pPr>
        <w:suppressAutoHyphens/>
        <w:autoSpaceDE w:val="0"/>
        <w:autoSpaceDN w:val="0"/>
        <w:adjustRightInd w:val="0"/>
        <w:spacing w:after="57" w:line="240" w:lineRule="auto"/>
        <w:jc w:val="both"/>
        <w:textAlignment w:val="center"/>
        <w:rPr>
          <w:rFonts w:ascii="Minion Pro" w:hAnsi="Minion Pro" w:cs="Minion Pro"/>
          <w:color w:val="000000"/>
        </w:rPr>
      </w:pPr>
      <w:r w:rsidRPr="00660467">
        <w:rPr>
          <w:rFonts w:ascii="Minion Pro" w:hAnsi="Minion Pro" w:cs="Minion Pro"/>
          <w:color w:val="000000"/>
        </w:rPr>
        <w:t xml:space="preserve">1 </w:t>
      </w:r>
      <w:r w:rsidR="00960104" w:rsidRPr="00660467">
        <w:rPr>
          <w:rFonts w:ascii="Minion Pro" w:hAnsi="Minion Pro" w:cs="Minion Pro"/>
          <w:color w:val="000000"/>
        </w:rPr>
        <w:t>m</w:t>
      </w:r>
      <w:r w:rsidRPr="00660467">
        <w:rPr>
          <w:rFonts w:ascii="Minion Pro" w:hAnsi="Minion Pro" w:cs="Minion Pro"/>
          <w:color w:val="000000"/>
        </w:rPr>
        <w:t>atériel éducative</w:t>
      </w:r>
    </w:p>
    <w:p w14:paraId="676AF47E" w14:textId="3C2AE5A0" w:rsidR="00510C12" w:rsidRPr="00660467" w:rsidRDefault="00510C12" w:rsidP="00510C12">
      <w:pPr>
        <w:rPr>
          <w:rFonts w:ascii="Minion Pro" w:hAnsi="Minion Pro" w:cs="Minion Pro"/>
          <w:color w:val="000000"/>
          <w:sz w:val="24"/>
          <w:szCs w:val="24"/>
        </w:rPr>
      </w:pPr>
      <w:r w:rsidRPr="00660467">
        <w:t>1</w:t>
      </w:r>
      <w:r w:rsidR="00960104" w:rsidRPr="00660467">
        <w:t xml:space="preserve"> d</w:t>
      </w:r>
      <w:r w:rsidRPr="00660467">
        <w:rPr>
          <w:rFonts w:ascii="Minion Pro" w:hAnsi="Minion Pro" w:cs="Minion Pro"/>
          <w:color w:val="000000"/>
          <w:sz w:val="24"/>
          <w:szCs w:val="24"/>
        </w:rPr>
        <w:t>irection des projets de recherche</w:t>
      </w:r>
    </w:p>
    <w:p w14:paraId="0D3278A4" w14:textId="4819074D" w:rsidR="00510C12" w:rsidRPr="00660467" w:rsidRDefault="00510C12" w:rsidP="00510C12">
      <w:pPr>
        <w:rPr>
          <w:rFonts w:ascii="Minion Pro" w:hAnsi="Minion Pro" w:cs="Minion Pro"/>
          <w:color w:val="000000"/>
          <w:sz w:val="24"/>
          <w:szCs w:val="24"/>
        </w:rPr>
      </w:pPr>
      <w:r w:rsidRPr="00660467">
        <w:rPr>
          <w:rFonts w:ascii="Minion Pro" w:hAnsi="Minion Pro" w:cs="Minion Pro"/>
          <w:color w:val="000000"/>
          <w:sz w:val="24"/>
          <w:szCs w:val="24"/>
        </w:rPr>
        <w:t>6</w:t>
      </w:r>
      <w:r w:rsidR="00960104" w:rsidRPr="00660467">
        <w:rPr>
          <w:rFonts w:ascii="Minion Pro" w:hAnsi="Minion Pro" w:cs="Minion Pro"/>
          <w:color w:val="000000"/>
          <w:sz w:val="24"/>
          <w:szCs w:val="24"/>
        </w:rPr>
        <w:t xml:space="preserve"> c</w:t>
      </w:r>
      <w:r w:rsidRPr="00660467">
        <w:rPr>
          <w:rFonts w:ascii="Minion Pro" w:hAnsi="Minion Pro" w:cs="Minion Pro"/>
          <w:color w:val="000000"/>
          <w:sz w:val="24"/>
          <w:szCs w:val="24"/>
        </w:rPr>
        <w:t>ontribution</w:t>
      </w:r>
      <w:r w:rsidR="00960104" w:rsidRPr="00660467">
        <w:rPr>
          <w:rFonts w:ascii="Minion Pro" w:hAnsi="Minion Pro" w:cs="Minion Pro"/>
          <w:color w:val="000000"/>
          <w:sz w:val="24"/>
          <w:szCs w:val="24"/>
        </w:rPr>
        <w:t>s</w:t>
      </w:r>
      <w:r w:rsidRPr="00660467">
        <w:rPr>
          <w:rFonts w:ascii="Minion Pro" w:hAnsi="Minion Pro" w:cs="Minion Pro"/>
          <w:color w:val="000000"/>
          <w:sz w:val="24"/>
          <w:szCs w:val="24"/>
        </w:rPr>
        <w:t xml:space="preserve"> à des projets de recherche</w:t>
      </w:r>
    </w:p>
    <w:p w14:paraId="644AF083" w14:textId="77777777" w:rsidR="003363D6" w:rsidRPr="00660467" w:rsidRDefault="00510C12" w:rsidP="00510C12">
      <w:r w:rsidRPr="00660467">
        <w:t>Déclaration d'invention</w:t>
      </w:r>
    </w:p>
    <w:p w14:paraId="29F9AFA0" w14:textId="77777777" w:rsidR="00510C12" w:rsidRPr="00660467" w:rsidRDefault="003363D6" w:rsidP="00510C12">
      <w:r w:rsidRPr="00660467">
        <w:t>D</w:t>
      </w:r>
      <w:r w:rsidR="00510C12" w:rsidRPr="00660467">
        <w:t>éclaration du logiciel</w:t>
      </w:r>
    </w:p>
    <w:sectPr w:rsidR="00510C12" w:rsidRPr="006604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C12"/>
    <w:rsid w:val="00133346"/>
    <w:rsid w:val="003363D6"/>
    <w:rsid w:val="00510C12"/>
    <w:rsid w:val="00660467"/>
    <w:rsid w:val="006B5241"/>
    <w:rsid w:val="008C598F"/>
    <w:rsid w:val="00960104"/>
    <w:rsid w:val="00CD39AC"/>
    <w:rsid w:val="00D31305"/>
    <w:rsid w:val="00EC58E1"/>
    <w:rsid w:val="00EC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F1C53"/>
  <w15:chartTrackingRefBased/>
  <w15:docId w15:val="{9EE285AB-C1FF-47EF-8687-C66F4E36F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10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0C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278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</dc:creator>
  <cp:keywords/>
  <dc:description/>
  <cp:lastModifiedBy>Josef Wilczek</cp:lastModifiedBy>
  <cp:revision>6</cp:revision>
  <dcterms:created xsi:type="dcterms:W3CDTF">2020-04-06T13:46:00Z</dcterms:created>
  <dcterms:modified xsi:type="dcterms:W3CDTF">2020-05-18T08:23:00Z</dcterms:modified>
</cp:coreProperties>
</file>